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40" w:lineRule="exact"/>
        <w:jc w:val="center"/>
        <w:outlineLvl w:val="0"/>
        <w:rPr>
          <w:rFonts w:hint="eastAsia" w:ascii="方正小标宋_GBK" w:hAnsi="方正小标宋_GBK" w:eastAsia="方正小标宋_GBK" w:cs="方正小标宋_GBK"/>
          <w:sz w:val="40"/>
          <w:szCs w:val="40"/>
        </w:rPr>
      </w:pPr>
    </w:p>
    <w:p>
      <w:pPr>
        <w:spacing w:after="156" w:afterLines="50" w:line="540" w:lineRule="exact"/>
        <w:jc w:val="center"/>
        <w:outlineLvl w:val="0"/>
        <w:rPr>
          <w:rFonts w:hint="eastAsia" w:ascii="宋体" w:hAnsi="宋体" w:cs="宋体"/>
          <w:color w:val="FF0000"/>
          <w:sz w:val="28"/>
          <w:szCs w:val="28"/>
        </w:rPr>
      </w:pPr>
      <w:r>
        <w:rPr>
          <w:rFonts w:hint="eastAsia" w:ascii="方正小标宋_GBK" w:hAnsi="方正小标宋_GBK" w:eastAsia="方正小标宋_GBK" w:cs="方正小标宋_GBK"/>
          <w:sz w:val="40"/>
          <w:szCs w:val="40"/>
        </w:rPr>
        <w:t>行政许可事项实施规范</w:t>
      </w:r>
    </w:p>
    <w:p>
      <w:pPr>
        <w:spacing w:after="156" w:afterLines="50" w:line="540" w:lineRule="exact"/>
        <w:jc w:val="center"/>
        <w:outlineLvl w:val="0"/>
        <w:rPr>
          <w:rFonts w:hint="eastAsia" w:ascii="宋体" w:hAnsi="宋体" w:cs="宋体"/>
          <w:sz w:val="28"/>
          <w:szCs w:val="28"/>
        </w:rPr>
      </w:pPr>
      <w:r>
        <w:rPr>
          <w:rFonts w:hint="eastAsia" w:ascii="方正楷体_GBK" w:hAnsi="方正楷体_GBK" w:eastAsia="方正楷体_GBK" w:cs="方正楷体_GBK"/>
          <w:sz w:val="32"/>
          <w:szCs w:val="32"/>
        </w:rPr>
        <w:t>（基本要素）</w:t>
      </w:r>
    </w:p>
    <w:p>
      <w:pPr>
        <w:spacing w:after="156" w:afterLines="50" w:line="540" w:lineRule="exact"/>
        <w:jc w:val="center"/>
        <w:outlineLvl w:val="0"/>
        <w:rPr>
          <w:rFonts w:hint="eastAsia" w:ascii="宋体" w:hAnsi="宋体" w:cs="宋体"/>
          <w:color w:val="FF0000"/>
          <w:sz w:val="28"/>
          <w:szCs w:val="28"/>
        </w:rPr>
      </w:pP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一、行政许可事项名称：</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拆除环境卫生设施许可</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二、主管部门：</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省住房城乡建设厅</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三、实施机关：</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城市政府环境卫生部门</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四、设定和实施依据：</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《城市市容和环境卫生管理条例》</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五、子项：</w:t>
      </w:r>
    </w:p>
    <w:p>
      <w:pPr>
        <w:spacing w:line="540" w:lineRule="exact"/>
        <w:ind w:firstLine="420"/>
        <w:outlineLvl w:val="1"/>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lang w:val="en-US" w:eastAsia="zh-CN"/>
        </w:rPr>
        <w:t>.</w:t>
      </w:r>
      <w:r>
        <w:rPr>
          <w:rFonts w:hint="eastAsia" w:ascii="方正仿宋_GBK" w:hAnsi="方正仿宋_GBK" w:eastAsia="方正仿宋_GBK" w:cs="方正仿宋_GBK"/>
          <w:sz w:val="28"/>
          <w:szCs w:val="28"/>
        </w:rPr>
        <w:t>拆除环境卫生设施许可（县级权限）</w:t>
      </w: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600" w:lineRule="exact"/>
        <w:rPr>
          <w:rFonts w:hint="eastAsia" w:ascii="方正仿宋_GBK" w:hAnsi="方正仿宋_GBK" w:eastAsia="方正仿宋_GBK" w:cs="方正仿宋_GBK"/>
          <w:sz w:val="28"/>
          <w:szCs w:val="28"/>
        </w:rPr>
      </w:pPr>
    </w:p>
    <w:p>
      <w:pPr>
        <w:jc w:val="center"/>
        <w:rPr>
          <w:rFonts w:hint="eastAsia" w:ascii="方正小标宋_GBK" w:hAnsi="方正小标宋_GBK" w:eastAsia="方正小标宋_GBK" w:cs="方正小标宋_GBK"/>
          <w:sz w:val="40"/>
          <w:szCs w:val="40"/>
        </w:rPr>
      </w:pP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拆除环境卫生设施许可（县级权限）</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【000117120003】</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拆除环境卫生设施许可【00011712000Y】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拆除环境卫生设施许可（县级权限）【000117120003】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拆除环境卫生设施许可首次申请</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00011712000301</w:t>
      </w:r>
      <w:bookmarkStart w:id="0" w:name="hmcheck_36e1de6fe4d74243a319274bedad9db2"/>
      <w:r>
        <w:rPr>
          <w:rFonts w:hint="eastAsia" w:ascii="方正仿宋_GBK" w:hAnsi="方正仿宋_GBK" w:eastAsia="方正仿宋_GBK" w:cs="方正仿宋_GBK"/>
          <w:sz w:val="28"/>
          <w:szCs w:val="28"/>
          <w:shd w:val="clear" w:fill="FFFFFF"/>
        </w:rPr>
        <w:t>)</w:t>
      </w:r>
      <w:bookmarkEnd w:id="0"/>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（1）《城市市容和环境卫生管理条例》（中华人民共和国国务院令第101号）第二十二条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（1）《城市市容和环境卫生管理条例》（中华人民共和国国务院令第101号）第二十二条、第三十六条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（2）《中华人民共和国固体废物污染环境防治法》第五十五条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（3）《城市生活垃圾管理办法》　第三十五条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（1）《城市市容和环境卫生管理条例》（中华人民共和国国务院令第101号）第二十二条、第三十六条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（2）《中华人民共和国固体废物污染环境防治法》第五十五条　</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（3）《城市生活垃圾管理办法》第十三条、第十四条</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w:t>
      </w:r>
      <w:r>
        <w:rPr>
          <w:rFonts w:hint="eastAsia" w:ascii="方正仿宋_GBK" w:hAnsi="方正仿宋_GBK" w:eastAsia="方正仿宋_GBK" w:cs="方正仿宋_GBK"/>
          <w:sz w:val="28"/>
          <w:szCs w:val="28"/>
          <w:lang w:eastAsia="zh-CN"/>
        </w:rPr>
        <w:t>城市综合管理局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w:t>
      </w:r>
      <w:r>
        <w:rPr>
          <w:rFonts w:hint="eastAsia" w:ascii="方正仿宋_GBK" w:hAnsi="方正仿宋_GBK" w:eastAsia="方正仿宋_GBK" w:cs="方正仿宋_GBK"/>
          <w:sz w:val="28"/>
          <w:szCs w:val="28"/>
          <w:lang w:eastAsia="zh-CN"/>
        </w:rPr>
        <w:t>行政审批局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无对应政务服务事项</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15.要素统一情况：</w:t>
      </w:r>
      <w:r>
        <w:rPr>
          <w:rFonts w:hint="eastAsia" w:ascii="方正仿宋_GBK" w:hAnsi="方正仿宋_GBK" w:eastAsia="方正仿宋_GBK" w:cs="方正仿宋_GBK"/>
          <w:sz w:val="28"/>
          <w:szCs w:val="28"/>
        </w:rPr>
        <w:t>全部要素全国统一</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申请人属于设施权属人；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设施丧失使用功能或使用功能已被其他设施替代；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因实施城市规划需要拆除的，应当取得规划、建设主管部门批准文件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有新建替代设施计划，并制定拆建方案。</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市容和环境卫生管理条例》（中华人民共和国国务院令第101号）第二十二条一切单位和个人都不得擅自拆除环境卫生设施；因建设需要必须拆除的，建设单位必须事先提出拆迁方案，报城市人民政府市容环境卫生行政主管部门批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（2）《中华人民共和国固体废物污染环境防治法》第五十五条　建设生活垃圾处理设施、场所，应当符合国务院生态环境主管部门和国务院住房城乡建设主管部门规定的环境保护和环境卫生标准。</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鼓励相邻地区统筹生活垃圾处理设施建设，促进生活垃圾处理设施跨行政区域共建共享。</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（3）《城市生活垃圾管理办法》第三十三条、第三十四条第三十三条 有下列情形之一的，可以依法撤销许可证书：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（一）建设（环境卫生）主管部门工作人员滥用职权、玩忽职守作出准予城市生活垃圾清扫、收集、运输或者处置许可决定的；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（二）超越法定职权作出准予城市生活垃圾清扫、收集、运输或者处置许可决定的；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（三）违反法定程序作出准予城市生活垃圾清扫、收集、运输或者处置许可决定的；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（四）对不符合许可条件的申请人作出准予许可的；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（五）依法可以撤销许可的其他情形。</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申请人以欺骗、贿赂等不正当手段取得许可的，应当予以撤销。</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第三十四条 有下列情形之一的，从事城市生活垃圾经营性清扫、收集、运输或者处置的企业应当向原许可机关提出注销许可证的申请，交回许可证书；原许可机关应当办理注销手续，公告其许可证书作废：</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（一）许可事项有效期届满，未依法申请延期的；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（二）企业依法终止的；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（三）许可证依法被撤回、撤销或者吊销的；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规定的其他应当注销的情形。</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拆除环境卫生设施（除生活垃圾处理设施场所外）许可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拆除环境卫生设施（除生活垃圾处理设施、场所外）批复</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优化审批服务</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精简许可条件和审批材料，减轻企业办事负担；优化审批流程，压减审批时限，提高审批效率</w:t>
      </w:r>
      <w:r>
        <w:rPr>
          <w:rFonts w:hint="eastAsia" w:ascii="方正仿宋_GBK" w:hAnsi="方正仿宋_GBK" w:eastAsia="方正仿宋_GBK" w:cs="方正仿宋_GBK"/>
          <w:sz w:val="28"/>
          <w:szCs w:val="28"/>
        </w:rPr>
        <w:t>，将承诺审批时限由20个工作日压减至5个工作日。</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1.完善常态化监管机制，通过书面检查、实地检查、定期抽验、随机抽查等强化日常</w:t>
      </w:r>
      <w:r>
        <w:rPr>
          <w:rFonts w:hint="eastAsia" w:ascii="方正仿宋_GBK" w:hAnsi="方正仿宋_GBK" w:eastAsia="方正仿宋_GBK" w:cs="方正仿宋_GBK"/>
          <w:sz w:val="28"/>
          <w:szCs w:val="28"/>
          <w:lang w:eastAsia="zh-CN"/>
        </w:rPr>
        <w:t>监管</w:t>
      </w:r>
      <w:r>
        <w:rPr>
          <w:rFonts w:ascii="方正仿宋_GBK" w:hAnsi="方正仿宋_GBK" w:eastAsia="方正仿宋_GBK" w:cs="方正仿宋_GBK"/>
          <w:sz w:val="28"/>
          <w:szCs w:val="28"/>
        </w:rPr>
        <w:t>、人工智能等手段精准预警风险隐患。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2.运用互联网和大数据技术，依托政务服务网上平台，实时动态监管，实现“制度+技术”的有效监管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3.加快推进社会信用体系建设，完善信用信息征集、存储、共享与应用等环节的管理制度，建立健全信用信息档案和交换共享机制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4.拓宽公众参与社会监督的渠道和方式，建立健全公众举报受理平台，鼓励通过互联网、举报电话、投诉信箱等反映行政相对人在产品和服务质量、违法经营等方面的问题</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书面申请；</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权属关系证明材料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设施丧失使用功能或使用功能已被其他设施替代的证明；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因实施城市规划需要拆除的，应当取得规划、建设主管部门批准文件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有新建替代设施计划，并制定拆建方案。</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市市容和环境卫生管理条例》（中华人民共和国国务院令第101号）第二十二条一切单位和个人都不得擅自拆除环境卫生设施；因建设需要必须拆除的，建设单位必须事先提出拆迁方案，报城市人民政府市容环境卫生行政主管部门批准。</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（2）《城市生活垃圾管理办法》　第十四条申请关闭、闲置或者拆除城市生活垃圾处置设施、场所的，应当提交以下材料：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（一）书面申请；</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（二）权属关系证明材料；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（三）丧失使用功能或其使用功能被其他设施替代的证明；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（四）</w:t>
      </w:r>
      <w:r>
        <w:rPr>
          <w:rFonts w:hint="eastAsia" w:ascii="方正仿宋_GBK" w:hAnsi="方正仿宋_GBK" w:eastAsia="方正仿宋_GBK" w:cs="方正仿宋_GBK"/>
          <w:sz w:val="28"/>
          <w:szCs w:val="28"/>
          <w:lang w:eastAsia="zh-CN"/>
        </w:rPr>
        <w:t>防治</w:t>
      </w:r>
      <w:r>
        <w:rPr>
          <w:rFonts w:hint="eastAsia" w:ascii="方正仿宋_GBK" w:hAnsi="方正仿宋_GBK" w:eastAsia="方正仿宋_GBK" w:cs="方正仿宋_GBK"/>
          <w:sz w:val="28"/>
          <w:szCs w:val="28"/>
        </w:rPr>
        <w:t>环境污染的方案；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（五）拟关闭、闲置或者拆除设施的现状图及拆除方案；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（六）拟新建设施设计图；</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（七）因实施城市规划需要闲置、关闭或者拆除的，还应当提供规划、建设主管部门的批准文件。</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现场勘验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（1）中华人民共和国行政许可法第二十九条、第三十条、第三十一条、第三十二条、第三十三条、第三十四条、第三十五条、第三十六条、第三十七条、第三十八条、第三十九条、第四十条、第四十一条</w:t>
      </w:r>
    </w:p>
    <w:p>
      <w:pPr>
        <w:spacing w:line="600" w:lineRule="exact"/>
        <w:ind w:firstLine="560" w:firstLineChars="200"/>
        <w:jc w:val="center"/>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第一节 申请与受理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第三十条行政机关应当将</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、规章规定的有关行政许可的事项、依据、条件、数量、程序、期限以及需要提交的全部材料的目录和申请书示范文本等在办公场所公示。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申请人要求行政机关对公示内容予以说明、解释的，行政机关应当说明、解释，提供准确、可靠的信息。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第三十一条申请人申请行政许可，应当如实向行政机关提交有关材料和反映真实情况，并对其申请材料实质内容的真实性负责。行政机关不得要求申请人提交与其申请的行政许可事项无关的技术资料和其他材料。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第三十二条行政机关对申请人提出的行政许可申请，应当根据下列情况分别作出处理：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（一）申请事项依法不需要取得行政许可的，应当即时告知申请人</w:t>
      </w:r>
      <w:r>
        <w:rPr>
          <w:rFonts w:hint="eastAsia" w:ascii="方正仿宋_GBK" w:hAnsi="方正仿宋_GBK" w:eastAsia="方正仿宋_GBK" w:cs="方正仿宋_GBK"/>
          <w:sz w:val="28"/>
          <w:szCs w:val="28"/>
          <w:lang w:eastAsia="zh-CN"/>
        </w:rPr>
        <w:t>不予</w:t>
      </w: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（二）申请事项依法不属于本行政机关职权范围的，应当即时作出不予受理的决定，并告知申请人向有关行政机关申请；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（三）申请材料存在可以当场更正的错误的，应当允许申请人当场更正；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（四）申请材料不齐全或者不符合法定形式的，应当当场或者在五日内一次告知申请人需要补正的全部内容，逾期不告知的，自收到申请材料之日起即为受理；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三条行政机关应当建立和完善有关制度，推行电子政务，在行政机关的网站上公布行政许可事项，方便申请人采取数据电文等方式提出行政许可申请；应当与其他行政机关共享有关行政许可信息，提高办事效率。</w:t>
      </w:r>
    </w:p>
    <w:p>
      <w:pPr>
        <w:spacing w:line="600" w:lineRule="exact"/>
        <w:ind w:firstLine="560" w:firstLineChars="200"/>
        <w:jc w:val="center"/>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第二节 审查与决定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第三十四条行政机关应当对申请人提交的申请材料进行审查。</w:t>
      </w:r>
    </w:p>
    <w:p>
      <w:pPr>
        <w:spacing w:line="600" w:lineRule="exact"/>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申请人提交的申请材料齐全、符合法定形式，行政机关能够当场作出决定的，应当当场作出书面的行政许可决定。</w:t>
      </w:r>
    </w:p>
    <w:p>
      <w:pPr>
        <w:spacing w:line="600" w:lineRule="exact"/>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五条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第三十六条行政机关对行政许可申请进行审查时，发现行政许可事项直接关系他人重大利益的，应当告知该利害关系人。申请人、利害关系人有权进行陈述和申辩。行政机关应当听取申请人、利害关系人的意见。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第三十七条行政机关对行政许可申请进行审查后，除当场作出行政许可决定的外，应当在法定期限内按照规定程序作出行政许可决定。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第三十八条申请人的申请符合法定条件、标准的，行政机关应当依法作出准予行政许可的书面决定。</w:t>
      </w:r>
    </w:p>
    <w:p>
      <w:pPr>
        <w:spacing w:line="600" w:lineRule="exact"/>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第三十九条行政机关作出准予行政许可的决定，需要颁发行政许可证件的，应当向申请人颁发加盖本行政机关印章的下列行政许可证件：</w:t>
      </w:r>
    </w:p>
    <w:p>
      <w:pPr>
        <w:spacing w:line="600" w:lineRule="exact"/>
        <w:ind w:firstLine="280" w:firstLineChars="1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（一）许可证、执照或者其他许可证书；</w:t>
      </w:r>
    </w:p>
    <w:p>
      <w:pPr>
        <w:spacing w:line="600" w:lineRule="exact"/>
        <w:ind w:firstLine="280" w:firstLineChars="1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（二）资格证、资质证或者其他合格证书；</w:t>
      </w:r>
    </w:p>
    <w:p>
      <w:pPr>
        <w:spacing w:line="600" w:lineRule="exact"/>
        <w:ind w:firstLine="280" w:firstLineChars="1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（三）行政机关的批准文件或者证明文件；</w:t>
      </w:r>
    </w:p>
    <w:p>
      <w:pPr>
        <w:spacing w:line="600" w:lineRule="exact"/>
        <w:ind w:firstLine="280" w:firstLineChars="1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规定的其他行政许可证件。</w:t>
      </w:r>
    </w:p>
    <w:p>
      <w:pPr>
        <w:spacing w:line="600" w:lineRule="exact"/>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行政机关实施检验、检测、检疫的，可以在检验、检测、检疫合格的设备、设施、产品、物品上加贴标签或者加盖检验、检测、检疫印章。</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第四十条行政机关作出的准予行政许可决定，应当予以公开，公众有权查阅。</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第四十一条法律、行政法规设定的行政许可，其适用范围没有地域限制的，申请人取得的行政许可在全国范围内有效。</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5个工作日</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hint="eastAsia" w:ascii="方正仿宋_GBK" w:hAnsi="方正仿宋_GBK" w:eastAsia="方正仿宋_GBK" w:cs="方正仿宋_GBK"/>
          <w:b/>
          <w:bCs/>
          <w:color w:val="FF0000"/>
          <w:sz w:val="28"/>
          <w:szCs w:val="28"/>
        </w:rPr>
      </w:pPr>
      <w:r>
        <w:rPr>
          <w:rFonts w:hint="eastAsia"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拆除环境卫生设施（除生活垃圾处理设施、场所外）批复</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无期限</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（1）《中华人民共和国固体废物污染环境防治法》第五十五条　建设生活垃圾处理设施、场所，应当符合国务院生态环境主管部门和国务院住房城乡建设主管部门规定的环境保护和环境卫生标准。</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鼓励相邻地区统筹生活垃圾处理设施建设，促进生活垃圾处理设施跨行政区域共建共享。</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t>本</w:t>
      </w:r>
      <w:r>
        <w:rPr>
          <w:rFonts w:hint="eastAsia" w:ascii="方正仿宋_GBK" w:hAnsi="方正仿宋_GBK" w:eastAsia="方正仿宋_GBK" w:cs="方正仿宋_GBK"/>
          <w:sz w:val="28"/>
          <w:szCs w:val="28"/>
          <w:lang w:eastAsia="zh-CN"/>
        </w:rPr>
        <w:t>县</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（1）《中华人民共和国行政许可法》第十六条行政法规可以在法律设定的行政许可事项范围内，对实施该行政许可作出具体规定。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地方性法规可以在法律、行政法规设定的行政许可事项范围内，对实施该行政许可作出具体规定。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规章可以在上位法设定的行政许可事项范围内，对实施该行政许可作出具体规定。</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法规、规章对实施上位法设定的行政许可作出的具体规定，不得增设行政许可；对行政许可条件作出的具体规定，不得增设违反上位法的其他条件。</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十二、行政许可后年</w:t>
      </w:r>
      <w:bookmarkStart w:id="2" w:name="_GoBack"/>
      <w:bookmarkStart w:id="1" w:name="hmcheck_3ab6f42eb60543e3aa4fe419d6dea68a"/>
      <w:r>
        <w:rPr>
          <w:rFonts w:hint="eastAsia" w:ascii="Times New Roman" w:hAnsi="Times New Roman" w:eastAsia="黑体"/>
          <w:sz w:val="28"/>
          <w:szCs w:val="28"/>
          <w:shd w:val="clear" w:fill="FFFFFF"/>
        </w:rPr>
        <w:t>检</w:t>
      </w:r>
      <w:bookmarkEnd w:id="2"/>
      <w:bookmarkEnd w:id="1"/>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住房和城乡建设部；县</w:t>
      </w:r>
      <w:r>
        <w:rPr>
          <w:rFonts w:hint="eastAsia" w:ascii="方正仿宋_GBK" w:hAnsi="方正仿宋_GBK" w:eastAsia="方正仿宋_GBK" w:cs="方正仿宋_GBK"/>
          <w:sz w:val="28"/>
          <w:szCs w:val="28"/>
          <w:lang w:eastAsia="zh-CN"/>
        </w:rPr>
        <w:t>城市综合管理局</w:t>
      </w:r>
      <w:r>
        <w:rPr>
          <w:rFonts w:hint="eastAsia" w:ascii="方正仿宋_GBK" w:hAnsi="方正仿宋_GBK" w:eastAsia="方正仿宋_GBK" w:cs="方正仿宋_GBK"/>
          <w:sz w:val="28"/>
          <w:szCs w:val="28"/>
        </w:rPr>
        <w:t>。</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540" w:lineRule="exact"/>
        <w:outlineLvl w:val="1"/>
        <w:rPr>
          <w:rFonts w:ascii="Times New Roman" w:hAnsi="Times New Roman" w:eastAsia="黑体"/>
          <w:sz w:val="28"/>
          <w:szCs w:val="28"/>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s>
  <w:rsids>
    <w:rsidRoot w:val="22136369"/>
    <w:rsid w:val="045017DD"/>
    <w:rsid w:val="22136369"/>
    <w:rsid w:val="64A27BDE"/>
    <w:rsid w:val="6EA7305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曲靖市师宗县党政机关单位</Company>
  <Pages>1</Pages>
  <Words>0</Words>
  <Characters>0</Characters>
  <Lines>0</Lines>
  <Paragraphs>0</Paragraphs>
  <TotalTime>6</TotalTime>
  <ScaleCrop>false</ScaleCrop>
  <LinksUpToDate>false</LinksUpToDate>
  <CharactersWithSpaces>0</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2023-12-13T02:41:00Z</dcterms:created>
  <dc:creator>浩然正气</dc:creator>
  <cp:lastModifiedBy>郑若愚</cp:lastModifiedBy>
  <dcterms:modified xsi:type="dcterms:W3CDTF">2023-12-26T02:44:35Z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ICV">
    <vt:lpwstr>D697C4DC95A6425FBAD5A00C26FBB5ED_11</vt:lpwstr>
  </property>
  <property fmtid="{D5CDD505-2E9C-101B-9397-08002B2CF9AE}" pid="4" name="hmcheck_result_36e1de6fe4d74243a319274bedad9db2_errorword">
    <vt:lpwstr>)</vt:lpwstr>
  </property>
  <property fmtid="{D5CDD505-2E9C-101B-9397-08002B2CF9AE}" pid="5" name="hmcheck_result_36e1de6fe4d74243a319274bedad9db2_correctwords">
    <vt:lpwstr>["标点符号)缺少成对"]</vt:lpwstr>
  </property>
  <property fmtid="{D5CDD505-2E9C-101B-9397-08002B2CF9AE}" pid="6" name="hmcheck_result_36e1de6fe4d74243a319274bedad9db2_level">
    <vt:i4>1</vt:i4>
  </property>
  <property fmtid="{D5CDD505-2E9C-101B-9397-08002B2CF9AE}" pid="7" name="hmcheck_result_36e1de6fe4d74243a319274bedad9db2_type">
    <vt:i4>1</vt:i4>
  </property>
  <property fmtid="{D5CDD505-2E9C-101B-9397-08002B2CF9AE}" pid="8" name="hmcheck_result_36e1de6fe4d74243a319274bedad9db2_modifiedtype">
    <vt:i4>1</vt:i4>
  </property>
  <property fmtid="{D5CDD505-2E9C-101B-9397-08002B2CF9AE}" pid="9" name="hmcheck_result_3ab6f42eb60543e3aa4fe419d6dea68a_errorword">
    <vt:lpwstr>检</vt:lpwstr>
  </property>
  <property fmtid="{D5CDD505-2E9C-101B-9397-08002B2CF9AE}" pid="10" name="hmcheck_result_3ab6f42eb60543e3aa4fe419d6dea68a_correctwords">
    <vt:lpwstr>["&lt;无建议&gt;"]</vt:lpwstr>
  </property>
  <property fmtid="{D5CDD505-2E9C-101B-9397-08002B2CF9AE}" pid="11" name="hmcheck_result_3ab6f42eb60543e3aa4fe419d6dea68a_level">
    <vt:i4>2</vt:i4>
  </property>
  <property fmtid="{D5CDD505-2E9C-101B-9397-08002B2CF9AE}" pid="12" name="hmcheck_result_3ab6f42eb60543e3aa4fe419d6dea68a_type">
    <vt:i4>0</vt:i4>
  </property>
  <property fmtid="{D5CDD505-2E9C-101B-9397-08002B2CF9AE}" pid="13" name="hmcheck_result_3ab6f42eb60543e3aa4fe419d6dea68a_modifiedtype">
    <vt:i4>1</vt:i4>
  </property>
  <property fmtid="{D5CDD505-2E9C-101B-9397-08002B2CF9AE}" pid="14" name="hmcheck_markmode">
    <vt:i4>0</vt:i4>
  </property>
</Properties>
</file>