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从事城市生活垃圾经营性清扫、收集、运输服务审批延续登记</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【00011712100502】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从事城市生活垃圾经营性清扫、收集、运输、处理服务审批【00011712100Y】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从事城市生活垃圾经营性清扫、收集、运输服务审批（县级权限）【000117121005】</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从事城市生活垃圾经营性清扫、收集、运输服务审批延续登记</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00011712100502</w:t>
      </w:r>
      <w:bookmarkStart w:id="0" w:name="hmcheck_9550656514f34b518d5dd3d04c2ea7c0"/>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（1）《国务院对确需保留的行政审批项目设定行政许可的决定》附件第一百零二项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（2）《城市生活垃圾管理办法》第十七条、第十八条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（2）《城市生活垃圾管理办法》（中华人民共和国建设部令第157号）第十七条、第十八条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（3）《关于修改</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房地产开发企业资质管理规定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等部门规章的决定》（建设部令第24号）第七条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（1）《中华人民共和国固体废物污染环境防治法》第四十八条、第一百一十一条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（2）《城市生活垃圾管理办法》（中华人民共和国建设部令第157号）第二十九条、第三十条、第三十一条、第三十二条、第三十三条、第三十四条、第三十五条、第三十六条、第三十七条</w:t>
      </w:r>
    </w:p>
    <w:p>
      <w:pPr>
        <w:spacing w:line="600" w:lineRule="exact"/>
        <w:ind w:firstLine="562" w:firstLineChars="200"/>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仿宋GB2312"/>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从事生活垃圾（含粪便）经营性清扫、收集、运输、处理服务审批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机械清扫能力达到总清扫能力的20%以上，机械清扫车辆包括洒水车和清扫保洁车辆。机械清扫车辆应当具有自动洒水、防尘、防遗撒、安全警示功能，安装车辆行驶及清扫过程记录仪；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垃圾收集应当采用全密闭运输工具，并应当具有分类收集功能；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垃圾运输应当采用全密闭自动卸载车辆或船只，具有防臭味扩散、防遗撒、防渗沥液滴漏功能，安装行驶及装卸记录仪；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具有健全的技术、质量、安全和监测管理制度并得到有效执行；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具有固定的办公及机械、设备、车辆、船只停放场所。</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县级以上地方人民政府环境卫生等主管部门应当组织对城乡生活垃圾进行清扫、收集、运输和处理，可以通过招标等方式选择具备条件的单位从事生活垃圾的清扫、收集、运输和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（2）《城市生活垃圾管理办法》（中华人民共和国建设部令第157号）第十九条从事城市生活垃圾经营性清扫、收集、运输服务的企业，应当具备以下条件：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（一）具备企业法人资格，从事垃圾清扫、收集的企业注册资本不少于人民币100万元，从事垃圾运输的企业注册资本不少于人民币300万元；</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（二）机械清扫能力达到总清扫能力的20%以上，机械清扫车辆包括洒水车和清扫保洁车辆。机械清扫车辆应当具有自动洒水、防尘、防遗撒、安全警示功能，安装车辆行驶及清扫过程记录仪；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（三）垃圾收集应当采用全密闭运输工具，并应当具有分类收集功能；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（四）垃圾运输应当采用全密闭自动卸载车辆或船只，具有防臭味扩散、防遗撒、防渗沥液滴漏功能，安装行驶及装卸记录仪；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（五）具有健全的技术、质量、安全和监测管理制度并得到有效执行；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（七）具有固定的办公及机械、设备、车辆、船只停放场所。（3）关于修改</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房地产开发企业资质管理规定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等部门规章的决定（建设部令第24号）第七条删除《城市生活垃圾管理办法》（建设部令第157号）第十九条第一项。</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从事城市生活垃圾经营性清扫、收集、运输、处理服务审批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从事城市生活垃圾经营性清扫、收集、运输服务许可证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实行告知承诺</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制定并公布告知承诺书格式文本，一次性告知申请人许可条件和所需材料，对申请人自愿承诺符合许可条件并按要求提交材料的，当场作出许可决定。</w:t>
      </w:r>
      <w:r>
        <w:rPr>
          <w:rFonts w:hint="eastAsia" w:ascii="方正仿宋_GBK" w:hAnsi="方正仿宋_GBK" w:eastAsia="方正仿宋_GBK" w:cs="方正仿宋_GBK"/>
          <w:sz w:val="28"/>
          <w:szCs w:val="28"/>
        </w:rPr>
        <w:t>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1.发现企业不符合承诺条件开展经营的责令限期整改，逾期不整改的或整改后仍达不到要求的依法撤销许可证件。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2.构建生活垃圾经营性服务全过程监管体系强化日常监管。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3.推动生活垃圾无害化处理设施建设和运营信息公开。</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7.拓宽公众参与社会监督的渠道和方式，建立健全公众举报受理平台，鼓励通过互联网、举报电话、投诉信箱等反映行政相对人在产品和服务质量、违法经营等方面的问题。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卫生填埋场、厨余垃圾处理厂和焚烧厂的选址符合城乡规划，并取得规划许可文件；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有控制污染和突发事件的预案；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有固定的办公及机械、设备、车辆、船只停放场所证明材料。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（1）《城市生活垃圾管理办法》（中华人民共和国建设部令第157号）第二十七条从事城市生活垃圾经营性处置服务的企业，应当具备以下条件：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（1）卫生填埋场、堆肥厂和焚烧厂的选址符合城乡规划，并取得规划许可文件；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（2）采用的技术、工艺符合国家有关标准；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（3）有</w:t>
      </w:r>
      <w:r>
        <w:rPr>
          <w:rFonts w:hint="eastAsia" w:ascii="方正仿宋_GBK" w:hAnsi="方正仿宋_GBK" w:eastAsia="方正仿宋_GBK" w:cs="方正仿宋_GBK"/>
          <w:sz w:val="28"/>
          <w:szCs w:val="28"/>
          <w:lang w:eastAsia="zh-CN"/>
        </w:rPr>
        <w:t>至少5名具有初级</w:t>
      </w:r>
      <w:r>
        <w:rPr>
          <w:rFonts w:hint="eastAsia" w:ascii="方正仿宋_GBK" w:hAnsi="方正仿宋_GBK" w:eastAsia="方正仿宋_GBK" w:cs="方正仿宋_GBK"/>
          <w:sz w:val="28"/>
          <w:szCs w:val="28"/>
        </w:rPr>
        <w:t>专业技术职称的人员，其中包括环境工程、机械、环境监测等专业的技术人员。技术负责人具有5年以上垃圾处理工作经历，并具有中级以上专业技术职称；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（4）具有完善的工艺运行、设备管理、环境监测与保护、财务管理、生产安全、计量统计等方面的管理制度并得到有效执行；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（5）生活垃圾处理设施配备沼气</w:t>
      </w:r>
      <w:r>
        <w:rPr>
          <w:rFonts w:hint="eastAsia" w:ascii="方正仿宋_GBK" w:hAnsi="方正仿宋_GBK" w:eastAsia="方正仿宋_GBK" w:cs="方正仿宋_GBK"/>
          <w:sz w:val="28"/>
          <w:szCs w:val="28"/>
          <w:lang w:eastAsia="zh-CN"/>
        </w:rPr>
        <w:t>监测仪器</w:t>
      </w:r>
      <w:r>
        <w:rPr>
          <w:rFonts w:hint="eastAsia" w:ascii="方正仿宋_GBK" w:hAnsi="方正仿宋_GBK" w:eastAsia="方正仿宋_GBK" w:cs="方正仿宋_GBK"/>
          <w:sz w:val="28"/>
          <w:szCs w:val="28"/>
        </w:rPr>
        <w:t>，配备环境监测设施如渗沥液监测井、尾气取样孔，安装在线监测系统等监测设备并与建设（环境卫生）主管部门联网；</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（7）有控制污染和突发事件的预案。</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中华人民共和国行政许可法第二十九条、第三十条、第三十一条、第三十二条、第三十三条、第三十四条、第三十五条、第三十六条、第三十七条、第三十八条、第三十九条、第四十条、第四十一条</w:t>
      </w:r>
    </w:p>
    <w:p>
      <w:pPr>
        <w:spacing w:line="600" w:lineRule="exact"/>
        <w:ind w:firstLine="560" w:firstLineChars="200"/>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280" w:firstLineChars="1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w:t>
      </w:r>
      <w:bookmarkStart w:id="1" w:name="hmcheck_bf1b60ecbb4b4ee484ef13c4822b88b2"/>
      <w:r>
        <w:rPr>
          <w:rFonts w:ascii="方正仿宋_GBK" w:hAnsi="方正仿宋_GBK" w:eastAsia="方正仿宋_GBK" w:cs="方正仿宋_GBK"/>
          <w:sz w:val="28"/>
          <w:szCs w:val="28"/>
          <w:shd w:val="clear" w:fill="FFFFFF"/>
        </w:rPr>
        <w:t>天</w:t>
      </w:r>
      <w:bookmarkEnd w:id="1"/>
      <w:r>
        <w:rPr>
          <w:rFonts w:ascii="方正仿宋_GBK" w:hAnsi="方正仿宋_GBK" w:eastAsia="方正仿宋_GBK" w:cs="方正仿宋_GBK"/>
          <w:sz w:val="28"/>
          <w:szCs w:val="28"/>
        </w:rPr>
        <w:t>除可以当场作出行政许可决定的外，行政机关应当自受理行政许可申请之日起二十日内作出行政许可决定。二十日内不能作出决定的，经本行政机关负责人批准，可以延长十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从事城市生活垃圾经营性清扫、收集、运输服务许可证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协议经营期</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生活垃圾管理办法》（中华人民共和国建设部令第157号）第二十六条……直辖市、市、县建设（环境卫生）主管部门应当与中标人签订城市生活垃圾处置经营协议，明确约定经营期限、服务标准等内容，并作为城市生活垃圾经营性处置服务许可证的附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4.办理行政许可证件延续手续的要求：应当在有效期届满30日前申请办理延续手续。</w:t>
      </w:r>
    </w:p>
    <w:p>
      <w:pPr>
        <w:spacing w:line="600" w:lineRule="exact"/>
        <w:ind w:firstLine="562"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bCs/>
          <w:sz w:val="28"/>
          <w:szCs w:val="28"/>
        </w:rPr>
        <w:t>5.行政许可证件的有效地域范围</w:t>
      </w:r>
      <w:r>
        <w:rPr>
          <w:rFonts w:hint="eastAsia" w:ascii="方正仿宋_GBK" w:hAnsi="方正仿宋_GBK" w:eastAsia="方正仿宋_GBK" w:cs="方正仿宋_GBK"/>
          <w:sz w:val="28"/>
          <w:szCs w:val="28"/>
        </w:rPr>
        <w:t>：本县</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6.规定行政许可证件有效地域范围的依据：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城市生活垃圾管理办法》（中华人民共和国建设部令第157号）第二十六条：直辖市、市、县建设（环境卫生）主管部门应当通过招投标等公平竞争方式作出城市生活垃圾经营性处置许可的决定，向中标人颁发城市生活垃圾经营性处置服务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应当在有效期届满30日前申请办理延续手续。</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（1）《中华人民共和国行政许可法》第四十四条行政机关作出准予行政许可的决定，应当自作出决定之日起十日内向申请人颁发、送达行政许可证件，或者加贴标签、加盖检验、检测、检疫印章。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3" w:name="_GoBack"/>
      <w:bookmarkStart w:id="2" w:name="hmcheck_2fee84ca731d4daea8848387124cb383"/>
      <w:r>
        <w:rPr>
          <w:rFonts w:hint="eastAsia" w:ascii="Times New Roman" w:hAnsi="Times New Roman" w:eastAsia="黑体"/>
          <w:sz w:val="28"/>
          <w:szCs w:val="28"/>
          <w:shd w:val="clear" w:fill="FFFFFF"/>
        </w:rPr>
        <w:t>检</w:t>
      </w:r>
      <w:bookmarkEnd w:id="3"/>
      <w:bookmarkEnd w:id="2"/>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住房和城乡建设部；</w:t>
      </w:r>
      <w:r>
        <w:rPr>
          <w:rFonts w:hint="eastAsia" w:ascii="方正仿宋_GBK" w:hAnsi="方正仿宋_GBK" w:eastAsia="方正仿宋_GBK" w:cs="方正仿宋_GBK"/>
          <w:sz w:val="28"/>
          <w:szCs w:val="28"/>
          <w:lang w:eastAsia="zh-CN"/>
        </w:rPr>
        <w:t>县城市综合管理局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pPr>
      <w:r>
        <w:rPr>
          <w:rFonts w:hint="eastAsia" w:ascii="方正仿宋_GBK" w:hAnsi="方正仿宋_GBK" w:eastAsia="方正仿宋_GBK" w:cs="方正仿宋_GBK"/>
          <w:sz w:val="28"/>
          <w:szCs w:val="28"/>
        </w:rPr>
        <w:t>根据《国务院关于深化“证照分离”改革进一步激发市场主体发展活力的通知》（国发</w:t>
      </w:r>
      <w:r>
        <w:rPr>
          <w:rFonts w:hint="eastAsia" w:ascii="微软雅黑" w:hAnsi="微软雅黑" w:eastAsia="微软雅黑" w:cs="微软雅黑"/>
          <w:sz w:val="28"/>
          <w:szCs w:val="28"/>
        </w:rPr>
        <w:t>〔2021〕7号），该事项在中国（云南）自由贸易试验区取消审批。</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0AAE4700"/>
    <w:rsid w:val="0AAE4700"/>
    <w:rsid w:val="3F2A5014"/>
    <w:rsid w:val="6B90370E"/>
    <w:rsid w:val="799E072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4</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2023-12-13T03:30:00Z</dcterms:created>
  <dc:creator>浩然正气</dc:creator>
  <cp:lastModifiedBy>郑若愚</cp:lastModifiedBy>
  <dcterms:modified xsi:type="dcterms:W3CDTF">2023-12-26T02:48:04Z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6A546E8269864715A48E6AB9609E0B26_11</vt:lpwstr>
  </property>
  <property fmtid="{D5CDD505-2E9C-101B-9397-08002B2CF9AE}" pid="4" name="hmcheck_result_9550656514f34b518d5dd3d04c2ea7c0_errorword">
    <vt:lpwstr>)</vt:lpwstr>
  </property>
  <property fmtid="{D5CDD505-2E9C-101B-9397-08002B2CF9AE}" pid="5" name="hmcheck_result_9550656514f34b518d5dd3d04c2ea7c0_correctwords">
    <vt:lpwstr>["标点符号)缺少成对"]</vt:lpwstr>
  </property>
  <property fmtid="{D5CDD505-2E9C-101B-9397-08002B2CF9AE}" pid="6" name="hmcheck_result_9550656514f34b518d5dd3d04c2ea7c0_level">
    <vt:i4>1</vt:i4>
  </property>
  <property fmtid="{D5CDD505-2E9C-101B-9397-08002B2CF9AE}" pid="7" name="hmcheck_result_9550656514f34b518d5dd3d04c2ea7c0_type">
    <vt:i4>1</vt:i4>
  </property>
  <property fmtid="{D5CDD505-2E9C-101B-9397-08002B2CF9AE}" pid="8" name="hmcheck_result_9550656514f34b518d5dd3d04c2ea7c0_modifiedtype">
    <vt:i4>1</vt:i4>
  </property>
  <property fmtid="{D5CDD505-2E9C-101B-9397-08002B2CF9AE}" pid="9" name="hmcheck_result_bf1b60ecbb4b4ee484ef13c4822b88b2_errorword">
    <vt:lpwstr>天</vt:lpwstr>
  </property>
  <property fmtid="{D5CDD505-2E9C-101B-9397-08002B2CF9AE}" pid="10" name="hmcheck_result_bf1b60ecbb4b4ee484ef13c4822b88b2_correctwords">
    <vt:lpwstr>["条"]</vt:lpwstr>
  </property>
  <property fmtid="{D5CDD505-2E9C-101B-9397-08002B2CF9AE}" pid="11" name="hmcheck_result_bf1b60ecbb4b4ee484ef13c4822b88b2_level">
    <vt:i4>1</vt:i4>
  </property>
  <property fmtid="{D5CDD505-2E9C-101B-9397-08002B2CF9AE}" pid="12" name="hmcheck_result_bf1b60ecbb4b4ee484ef13c4822b88b2_type">
    <vt:i4>0</vt:i4>
  </property>
  <property fmtid="{D5CDD505-2E9C-101B-9397-08002B2CF9AE}" pid="13" name="hmcheck_result_bf1b60ecbb4b4ee484ef13c4822b88b2_modifiedtype">
    <vt:i4>1</vt:i4>
  </property>
  <property fmtid="{D5CDD505-2E9C-101B-9397-08002B2CF9AE}" pid="14" name="hmcheck_result_2fee84ca731d4daea8848387124cb383_errorword">
    <vt:lpwstr>检</vt:lpwstr>
  </property>
  <property fmtid="{D5CDD505-2E9C-101B-9397-08002B2CF9AE}" pid="15" name="hmcheck_result_2fee84ca731d4daea8848387124cb383_correctwords">
    <vt:lpwstr>["&lt;无建议&gt;"]</vt:lpwstr>
  </property>
  <property fmtid="{D5CDD505-2E9C-101B-9397-08002B2CF9AE}" pid="16" name="hmcheck_result_2fee84ca731d4daea8848387124cb383_level">
    <vt:i4>2</vt:i4>
  </property>
  <property fmtid="{D5CDD505-2E9C-101B-9397-08002B2CF9AE}" pid="17" name="hmcheck_result_2fee84ca731d4daea8848387124cb383_type">
    <vt:i4>0</vt:i4>
  </property>
  <property fmtid="{D5CDD505-2E9C-101B-9397-08002B2CF9AE}" pid="18" name="hmcheck_result_2fee84ca731d4daea8848387124cb383_modifiedtype">
    <vt:i4>1</vt:i4>
  </property>
  <property fmtid="{D5CDD505-2E9C-101B-9397-08002B2CF9AE}" pid="19" name="hmcheck_markmode">
    <vt:i4>0</vt:i4>
  </property>
</Properties>
</file>